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080" w:rsidRPr="0018661B" w:rsidRDefault="00F50080" w:rsidP="0018661B">
      <w:pPr>
        <w:spacing w:after="0"/>
        <w:rPr>
          <w:rFonts w:cs="Times New Roman"/>
          <w:szCs w:val="24"/>
        </w:rPr>
      </w:pPr>
      <w:r w:rsidRPr="0018661B">
        <w:rPr>
          <w:rFonts w:cs="Times New Roman"/>
          <w:szCs w:val="24"/>
        </w:rPr>
        <w:t>Name</w:t>
      </w:r>
    </w:p>
    <w:p w:rsidR="00F50080" w:rsidRPr="0018661B" w:rsidRDefault="00F50080" w:rsidP="0018661B">
      <w:pPr>
        <w:spacing w:after="0"/>
        <w:rPr>
          <w:rFonts w:cs="Times New Roman"/>
          <w:szCs w:val="24"/>
        </w:rPr>
      </w:pPr>
      <w:r w:rsidRPr="0018661B">
        <w:rPr>
          <w:rFonts w:cs="Times New Roman"/>
          <w:szCs w:val="24"/>
        </w:rPr>
        <w:t>Professor’s Name</w:t>
      </w:r>
    </w:p>
    <w:p w:rsidR="00F50080" w:rsidRPr="0018661B" w:rsidRDefault="00F50080" w:rsidP="0018661B">
      <w:pPr>
        <w:spacing w:after="0"/>
        <w:rPr>
          <w:rFonts w:cs="Times New Roman"/>
          <w:szCs w:val="24"/>
        </w:rPr>
      </w:pPr>
      <w:r w:rsidRPr="0018661B">
        <w:rPr>
          <w:rFonts w:cs="Times New Roman"/>
          <w:szCs w:val="24"/>
        </w:rPr>
        <w:t>Course Title</w:t>
      </w:r>
    </w:p>
    <w:p w:rsidR="00F50080" w:rsidRPr="0018661B" w:rsidRDefault="00F50080" w:rsidP="0018661B">
      <w:pPr>
        <w:spacing w:after="0"/>
        <w:rPr>
          <w:rFonts w:cs="Times New Roman"/>
          <w:szCs w:val="24"/>
        </w:rPr>
      </w:pPr>
      <w:r w:rsidRPr="0018661B">
        <w:rPr>
          <w:rFonts w:cs="Times New Roman"/>
          <w:szCs w:val="24"/>
        </w:rPr>
        <w:t>Date</w:t>
      </w:r>
    </w:p>
    <w:p w:rsidR="009245F0" w:rsidRPr="0018661B" w:rsidRDefault="00D91FAF" w:rsidP="00D91FAF">
      <w:pPr>
        <w:spacing w:after="0"/>
        <w:jc w:val="center"/>
        <w:rPr>
          <w:rFonts w:cs="Times New Roman"/>
          <w:b/>
          <w:szCs w:val="24"/>
        </w:rPr>
      </w:pPr>
      <w:bookmarkStart w:id="0" w:name="_GoBack"/>
      <w:r>
        <w:rPr>
          <w:rFonts w:cs="Times New Roman"/>
          <w:b/>
          <w:szCs w:val="24"/>
        </w:rPr>
        <w:t xml:space="preserve">An </w:t>
      </w:r>
      <w:r w:rsidR="004D2164">
        <w:rPr>
          <w:rFonts w:cs="Times New Roman"/>
          <w:b/>
          <w:szCs w:val="24"/>
        </w:rPr>
        <w:t>O</w:t>
      </w:r>
      <w:r>
        <w:rPr>
          <w:rFonts w:cs="Times New Roman"/>
          <w:b/>
          <w:szCs w:val="24"/>
        </w:rPr>
        <w:t xml:space="preserve">verview of </w:t>
      </w:r>
      <w:r w:rsidR="00F50080" w:rsidRPr="0018661B">
        <w:rPr>
          <w:rFonts w:cs="Times New Roman"/>
          <w:b/>
          <w:szCs w:val="24"/>
        </w:rPr>
        <w:t>French Revolution</w:t>
      </w:r>
    </w:p>
    <w:bookmarkEnd w:id="0"/>
    <w:p w:rsidR="00593C31" w:rsidRPr="0018661B" w:rsidRDefault="007F5964" w:rsidP="0018661B">
      <w:pPr>
        <w:spacing w:after="0"/>
        <w:ind w:firstLine="720"/>
        <w:jc w:val="both"/>
        <w:rPr>
          <w:rFonts w:cs="Times New Roman"/>
          <w:szCs w:val="24"/>
        </w:rPr>
      </w:pPr>
      <w:r w:rsidRPr="0018661B">
        <w:rPr>
          <w:rFonts w:cs="Times New Roman"/>
          <w:szCs w:val="24"/>
        </w:rPr>
        <w:t>The French Revolution was a period marked by its citizens fighting to be considered as equals to the royals and high-born. This period is earmarked by the intent of the citizens to overthrow the monarch system of governance and take control to abolish the class system that divided the country.</w:t>
      </w:r>
      <w:r w:rsidR="00B16EEE" w:rsidRPr="0018661B">
        <w:rPr>
          <w:rFonts w:cs="Times New Roman"/>
          <w:szCs w:val="24"/>
        </w:rPr>
        <w:t xml:space="preserve"> The Napoleon Regime saw the working class held to a new standard. A list of the largest taxpayers were identified and their skills to have a lot of probable networks of clients within their influence. The regime provided them with the status of the new notables of French. This title spread to reach even the areas of the empire which were considered at the time as non-French</w:t>
      </w:r>
      <w:r w:rsidR="00D91FAF">
        <w:rPr>
          <w:rFonts w:cs="Times New Roman"/>
          <w:szCs w:val="24"/>
        </w:rPr>
        <w:t xml:space="preserve"> (</w:t>
      </w:r>
      <w:r w:rsidR="00D91FAF" w:rsidRPr="0018661B">
        <w:rPr>
          <w:rFonts w:cs="Times New Roman"/>
          <w:szCs w:val="24"/>
          <w:shd w:val="clear" w:color="auto" w:fill="FFFFFF"/>
        </w:rPr>
        <w:t>Phillips</w:t>
      </w:r>
      <w:r w:rsidR="00D91FAF">
        <w:rPr>
          <w:rFonts w:cs="Times New Roman"/>
          <w:szCs w:val="24"/>
          <w:shd w:val="clear" w:color="auto" w:fill="FFFFFF"/>
        </w:rPr>
        <w:t xml:space="preserve"> 345)</w:t>
      </w:r>
      <w:r w:rsidR="00B16EEE" w:rsidRPr="0018661B">
        <w:rPr>
          <w:rFonts w:cs="Times New Roman"/>
          <w:szCs w:val="24"/>
        </w:rPr>
        <w:t xml:space="preserve">. </w:t>
      </w:r>
      <w:r w:rsidR="00593C31" w:rsidRPr="0018661B">
        <w:rPr>
          <w:rFonts w:cs="Times New Roman"/>
          <w:szCs w:val="24"/>
        </w:rPr>
        <w:t>These new titles came with them recognition and at times appointments to positions in the departmental colleges and advisory councils. Napoleon then later came to adopt the former nobles under his charge but only recognized state service, military and civil, and solid wealth. The working class now had their chance at power and wealth regardless of the birth which endured through much of the following century</w:t>
      </w:r>
      <w:r w:rsidR="00D91FAF">
        <w:rPr>
          <w:rFonts w:cs="Times New Roman"/>
          <w:szCs w:val="24"/>
        </w:rPr>
        <w:t xml:space="preserve"> (</w:t>
      </w:r>
      <w:r w:rsidR="00D91FAF" w:rsidRPr="0018661B">
        <w:rPr>
          <w:rFonts w:cs="Times New Roman"/>
          <w:szCs w:val="24"/>
          <w:shd w:val="clear" w:color="auto" w:fill="FFFFFF"/>
        </w:rPr>
        <w:t>Woloch</w:t>
      </w:r>
      <w:r w:rsidR="00D91FAF">
        <w:rPr>
          <w:rFonts w:cs="Times New Roman"/>
          <w:szCs w:val="24"/>
          <w:shd w:val="clear" w:color="auto" w:fill="FFFFFF"/>
        </w:rPr>
        <w:t xml:space="preserve"> n.p)</w:t>
      </w:r>
      <w:r w:rsidR="00593C31" w:rsidRPr="0018661B">
        <w:rPr>
          <w:rFonts w:cs="Times New Roman"/>
          <w:szCs w:val="24"/>
        </w:rPr>
        <w:t xml:space="preserve">. Napoleon was successful in realization of the progressive thought of the revolution which suggested amalgamation of wealth and talent across the three states. </w:t>
      </w:r>
    </w:p>
    <w:p w:rsidR="008706CA" w:rsidRPr="0018661B" w:rsidRDefault="00B03B3B" w:rsidP="0018661B">
      <w:pPr>
        <w:spacing w:after="0"/>
        <w:ind w:firstLine="720"/>
        <w:jc w:val="both"/>
        <w:rPr>
          <w:rFonts w:cs="Times New Roman"/>
          <w:szCs w:val="24"/>
        </w:rPr>
      </w:pPr>
      <w:r w:rsidRPr="0018661B">
        <w:rPr>
          <w:rFonts w:cs="Times New Roman"/>
          <w:szCs w:val="24"/>
        </w:rPr>
        <w:t>Before the revolution, freedom and power were exercised by specific groups, corporations and localities by exercising a series of customs, and arrangements. The French Revolution mandated the dissolution of every institution that served to hinder any freedom and initiative from its citizens</w:t>
      </w:r>
      <w:r w:rsidR="00D91FAF">
        <w:rPr>
          <w:rFonts w:cs="Times New Roman"/>
          <w:szCs w:val="24"/>
        </w:rPr>
        <w:t xml:space="preserve"> (</w:t>
      </w:r>
      <w:r w:rsidR="00D91FAF" w:rsidRPr="0018661B">
        <w:rPr>
          <w:rFonts w:cs="Times New Roman"/>
          <w:szCs w:val="24"/>
          <w:shd w:val="clear" w:color="auto" w:fill="FFFFFF"/>
        </w:rPr>
        <w:t>Roza</w:t>
      </w:r>
      <w:r w:rsidR="00D91FAF">
        <w:rPr>
          <w:rFonts w:cs="Times New Roman"/>
          <w:szCs w:val="24"/>
          <w:shd w:val="clear" w:color="auto" w:fill="FFFFFF"/>
        </w:rPr>
        <w:t xml:space="preserve"> 140)</w:t>
      </w:r>
      <w:r w:rsidRPr="0018661B">
        <w:rPr>
          <w:rFonts w:cs="Times New Roman"/>
          <w:szCs w:val="24"/>
        </w:rPr>
        <w:t xml:space="preserve">. It favored the idea of creating opportunities for the citizens and </w:t>
      </w:r>
      <w:r w:rsidRPr="0018661B">
        <w:rPr>
          <w:rFonts w:cs="Times New Roman"/>
          <w:szCs w:val="24"/>
        </w:rPr>
        <w:lastRenderedPageBreak/>
        <w:t xml:space="preserve">incorporating ways of facilitating competition among them. Even the army and the armed forces came to adopt this as their insignia to promote merit within their ranks. French citizens also came to realize the </w:t>
      </w:r>
      <w:r w:rsidR="009129EE" w:rsidRPr="0018661B">
        <w:rPr>
          <w:rFonts w:cs="Times New Roman"/>
          <w:szCs w:val="24"/>
        </w:rPr>
        <w:t xml:space="preserve">same powers, responsibilities, obligations and rights regardless of where they lived to integrate the villages into a new civic order whereby a bridge connected the mental and behavioral chasms of between the village and towns. </w:t>
      </w:r>
    </w:p>
    <w:p w:rsidR="007A2A59" w:rsidRPr="0018661B" w:rsidRDefault="009129EE" w:rsidP="0018661B">
      <w:pPr>
        <w:spacing w:after="0"/>
        <w:ind w:firstLine="720"/>
        <w:jc w:val="both"/>
        <w:rPr>
          <w:rFonts w:cs="Times New Roman"/>
          <w:szCs w:val="24"/>
        </w:rPr>
      </w:pPr>
      <w:r w:rsidRPr="0018661B">
        <w:rPr>
          <w:rFonts w:cs="Times New Roman"/>
          <w:szCs w:val="24"/>
        </w:rPr>
        <w:t xml:space="preserve">Seigneuralism defines how the nobles exercised freedom over the vast lands in France and how they instituted policies and appointed vital roles in the society to people who would after their interests. The French Revolution sought to undo this regime by replacing these officials appointed to cover for the </w:t>
      </w:r>
      <w:r w:rsidR="008706CA" w:rsidRPr="0018661B">
        <w:rPr>
          <w:rFonts w:cs="Times New Roman"/>
          <w:szCs w:val="24"/>
        </w:rPr>
        <w:t>noble’s</w:t>
      </w:r>
      <w:r w:rsidRPr="0018661B">
        <w:rPr>
          <w:rFonts w:cs="Times New Roman"/>
          <w:szCs w:val="24"/>
        </w:rPr>
        <w:t xml:space="preserve"> interest with</w:t>
      </w:r>
      <w:r w:rsidR="008706CA" w:rsidRPr="0018661B">
        <w:rPr>
          <w:rFonts w:cs="Times New Roman"/>
          <w:szCs w:val="24"/>
        </w:rPr>
        <w:t xml:space="preserve"> elected candidates. Freedom for the nobles to exercise power over the lands was abolished and any form of the regime that stigmatized personal and servile obligations were also annulled. These attempts indicate the devotion by the Revolution to support the agrarian history by favoring peasant-proprietors. The abolition of the siegneuralism regime provided the chance and freedom for the small time proprietors to operate with less constraint and increased hopes of more incomes by capitalizing on the available markets</w:t>
      </w:r>
      <w:r w:rsidR="00D91FAF">
        <w:rPr>
          <w:rFonts w:cs="Times New Roman"/>
          <w:szCs w:val="24"/>
        </w:rPr>
        <w:t xml:space="preserve"> (</w:t>
      </w:r>
      <w:r w:rsidR="00D91FAF" w:rsidRPr="0018661B">
        <w:rPr>
          <w:rFonts w:cs="Times New Roman"/>
          <w:szCs w:val="24"/>
          <w:shd w:val="clear" w:color="auto" w:fill="FFFFFF"/>
        </w:rPr>
        <w:t>Barron</w:t>
      </w:r>
      <w:r w:rsidR="00D91FAF">
        <w:rPr>
          <w:rFonts w:cs="Times New Roman"/>
          <w:szCs w:val="24"/>
          <w:shd w:val="clear" w:color="auto" w:fill="FFFFFF"/>
        </w:rPr>
        <w:t xml:space="preserve"> 4610)</w:t>
      </w:r>
      <w:r w:rsidR="008706CA" w:rsidRPr="0018661B">
        <w:rPr>
          <w:rFonts w:cs="Times New Roman"/>
          <w:szCs w:val="24"/>
        </w:rPr>
        <w:t xml:space="preserve">. The Revolution also marked a point where the King was stripped off his </w:t>
      </w:r>
      <w:r w:rsidR="00BF746E" w:rsidRPr="0018661B">
        <w:rPr>
          <w:rFonts w:cs="Times New Roman"/>
          <w:szCs w:val="24"/>
        </w:rPr>
        <w:t>sovereignty and reduced him to a mere executive head of state with limited powers. The revolutionaries provided for self-government through local and administrative powers so that the national law reigned supreme everywhere. This concept of nationalism allowed the state the mandate to put the land of the nation at the disposition of the nation. The revolution marked an era where the peasants were more competitive to own large plots when the government complex land market which favored the dominant wealthy was made available to peasants by selling these lands in localities rather than district capitals.</w:t>
      </w:r>
    </w:p>
    <w:p w:rsidR="007A2A59" w:rsidRPr="0018661B" w:rsidRDefault="007A2A59" w:rsidP="0018661B">
      <w:pPr>
        <w:spacing w:after="0"/>
        <w:rPr>
          <w:rFonts w:cs="Times New Roman"/>
          <w:szCs w:val="24"/>
        </w:rPr>
      </w:pPr>
      <w:r w:rsidRPr="0018661B">
        <w:rPr>
          <w:rFonts w:cs="Times New Roman"/>
          <w:szCs w:val="24"/>
        </w:rPr>
        <w:br w:type="page"/>
      </w:r>
    </w:p>
    <w:p w:rsidR="0018661B" w:rsidRPr="0018661B" w:rsidRDefault="0018661B" w:rsidP="0018661B">
      <w:pPr>
        <w:spacing w:after="0"/>
        <w:jc w:val="center"/>
        <w:rPr>
          <w:rFonts w:cs="Times New Roman"/>
          <w:color w:val="222222"/>
          <w:szCs w:val="24"/>
          <w:shd w:val="clear" w:color="auto" w:fill="FFFFFF"/>
        </w:rPr>
      </w:pPr>
      <w:r w:rsidRPr="0018661B">
        <w:rPr>
          <w:rFonts w:cs="Times New Roman"/>
          <w:color w:val="222222"/>
          <w:szCs w:val="24"/>
          <w:shd w:val="clear" w:color="auto" w:fill="FFFFFF"/>
        </w:rPr>
        <w:lastRenderedPageBreak/>
        <w:t>Work Cited</w:t>
      </w:r>
    </w:p>
    <w:p w:rsidR="00593C31" w:rsidRPr="0018661B" w:rsidRDefault="0018661B" w:rsidP="0018661B">
      <w:pPr>
        <w:spacing w:after="0"/>
        <w:ind w:left="720" w:hanging="720"/>
        <w:rPr>
          <w:rFonts w:cs="Times New Roman"/>
          <w:szCs w:val="24"/>
          <w:shd w:val="clear" w:color="auto" w:fill="FFFFFF"/>
        </w:rPr>
      </w:pPr>
      <w:r w:rsidRPr="0018661B">
        <w:rPr>
          <w:rFonts w:cs="Times New Roman"/>
          <w:szCs w:val="24"/>
          <w:shd w:val="clear" w:color="auto" w:fill="FFFFFF"/>
        </w:rPr>
        <w:t>Phillips, David P. "The influence of suggestion on suicide: Substantive and theoretical implications of the Werther effect." </w:t>
      </w:r>
      <w:r w:rsidRPr="0018661B">
        <w:rPr>
          <w:rFonts w:cs="Times New Roman"/>
          <w:i/>
          <w:iCs/>
          <w:szCs w:val="24"/>
          <w:shd w:val="clear" w:color="auto" w:fill="FFFFFF"/>
        </w:rPr>
        <w:t>American Sociological Review</w:t>
      </w:r>
      <w:r w:rsidRPr="0018661B">
        <w:rPr>
          <w:rFonts w:cs="Times New Roman"/>
          <w:szCs w:val="24"/>
          <w:shd w:val="clear" w:color="auto" w:fill="FFFFFF"/>
        </w:rPr>
        <w:t> (1974): 340-354.</w:t>
      </w:r>
    </w:p>
    <w:p w:rsidR="0018661B" w:rsidRPr="0018661B" w:rsidRDefault="0018661B" w:rsidP="0018661B">
      <w:pPr>
        <w:spacing w:after="0"/>
        <w:ind w:left="720" w:hanging="720"/>
        <w:rPr>
          <w:rFonts w:cs="Times New Roman"/>
          <w:szCs w:val="24"/>
          <w:shd w:val="clear" w:color="auto" w:fill="FFFFFF"/>
        </w:rPr>
      </w:pPr>
      <w:r w:rsidRPr="0018661B">
        <w:rPr>
          <w:rFonts w:cs="Times New Roman"/>
          <w:szCs w:val="24"/>
          <w:shd w:val="clear" w:color="auto" w:fill="FFFFFF"/>
        </w:rPr>
        <w:t>Barron, Alexander TJ, et al. "Individuals, institutions, and innovation in the debates of the French Revolution." </w:t>
      </w:r>
      <w:r w:rsidRPr="0018661B">
        <w:rPr>
          <w:rFonts w:cs="Times New Roman"/>
          <w:i/>
          <w:iCs/>
          <w:szCs w:val="24"/>
          <w:shd w:val="clear" w:color="auto" w:fill="FFFFFF"/>
        </w:rPr>
        <w:t>Proceedings of the National Academy of Sciences</w:t>
      </w:r>
      <w:r w:rsidRPr="0018661B">
        <w:rPr>
          <w:rFonts w:cs="Times New Roman"/>
          <w:szCs w:val="24"/>
          <w:shd w:val="clear" w:color="auto" w:fill="FFFFFF"/>
        </w:rPr>
        <w:t> 115.18 (2018): 4607-4612.</w:t>
      </w:r>
    </w:p>
    <w:p w:rsidR="0018661B" w:rsidRPr="0018661B" w:rsidRDefault="0018661B" w:rsidP="0018661B">
      <w:pPr>
        <w:spacing w:after="0"/>
        <w:ind w:left="720" w:hanging="720"/>
        <w:rPr>
          <w:rFonts w:cs="Times New Roman"/>
          <w:szCs w:val="24"/>
          <w:shd w:val="clear" w:color="auto" w:fill="FFFFFF"/>
        </w:rPr>
      </w:pPr>
      <w:r w:rsidRPr="0018661B">
        <w:rPr>
          <w:rFonts w:cs="Times New Roman"/>
          <w:szCs w:val="24"/>
          <w:shd w:val="clear" w:color="auto" w:fill="FFFFFF"/>
        </w:rPr>
        <w:t>Roza, Stéphanie. "Communist and Neo-Babouvist Readings of the Enlightenment and the French Revolution." </w:t>
      </w:r>
      <w:r w:rsidRPr="0018661B">
        <w:rPr>
          <w:rFonts w:cs="Times New Roman"/>
          <w:i/>
          <w:iCs/>
          <w:szCs w:val="24"/>
          <w:shd w:val="clear" w:color="auto" w:fill="FFFFFF"/>
        </w:rPr>
        <w:t>Remembering Early Modern Revolutions</w:t>
      </w:r>
      <w:r w:rsidRPr="0018661B">
        <w:rPr>
          <w:rFonts w:cs="Times New Roman"/>
          <w:szCs w:val="24"/>
          <w:shd w:val="clear" w:color="auto" w:fill="FFFFFF"/>
        </w:rPr>
        <w:t>. Routledge, 2018. 137-144.</w:t>
      </w:r>
    </w:p>
    <w:p w:rsidR="0018661B" w:rsidRPr="0018661B" w:rsidRDefault="0018661B" w:rsidP="0018661B">
      <w:pPr>
        <w:spacing w:after="0"/>
        <w:ind w:left="720" w:hanging="720"/>
        <w:rPr>
          <w:rFonts w:cs="Times New Roman"/>
          <w:szCs w:val="24"/>
        </w:rPr>
      </w:pPr>
      <w:r w:rsidRPr="0018661B">
        <w:rPr>
          <w:rFonts w:cs="Times New Roman"/>
          <w:szCs w:val="24"/>
          <w:shd w:val="clear" w:color="auto" w:fill="FFFFFF"/>
        </w:rPr>
        <w:t>Woloch, Isser. "The French Revolution and the Empire." </w:t>
      </w:r>
      <w:r w:rsidRPr="0018661B">
        <w:rPr>
          <w:rStyle w:val="Emphasis"/>
          <w:rFonts w:cs="Times New Roman"/>
          <w:szCs w:val="24"/>
          <w:shd w:val="clear" w:color="auto" w:fill="FFFFFF"/>
        </w:rPr>
        <w:t>Encyclopedia.com | Free Online Encyclopedia</w:t>
      </w:r>
      <w:r w:rsidRPr="0018661B">
        <w:rPr>
          <w:rFonts w:cs="Times New Roman"/>
          <w:szCs w:val="24"/>
          <w:shd w:val="clear" w:color="auto" w:fill="FFFFFF"/>
        </w:rPr>
        <w:t>, www.encyclopedia.com/international/encyclopedias-almanacs-transcripts-and-maps/french-revolution-and-empire.</w:t>
      </w:r>
    </w:p>
    <w:sectPr w:rsidR="0018661B" w:rsidRPr="0018661B" w:rsidSect="009245F0">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453" w:rsidRDefault="00E87453" w:rsidP="00F50080">
      <w:pPr>
        <w:spacing w:after="0" w:line="240" w:lineRule="auto"/>
      </w:pPr>
      <w:r>
        <w:separator/>
      </w:r>
    </w:p>
  </w:endnote>
  <w:endnote w:type="continuationSeparator" w:id="0">
    <w:p w:rsidR="00E87453" w:rsidRDefault="00E87453" w:rsidP="00F50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453" w:rsidRDefault="00E87453" w:rsidP="00F50080">
      <w:pPr>
        <w:spacing w:after="0" w:line="240" w:lineRule="auto"/>
      </w:pPr>
      <w:r>
        <w:separator/>
      </w:r>
    </w:p>
  </w:footnote>
  <w:footnote w:type="continuationSeparator" w:id="0">
    <w:p w:rsidR="00E87453" w:rsidRDefault="00E87453" w:rsidP="00F500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080" w:rsidRDefault="00F50080">
    <w:pPr>
      <w:pStyle w:val="Header"/>
      <w:jc w:val="right"/>
    </w:pPr>
    <w:r>
      <w:t xml:space="preserve">Surname </w:t>
    </w:r>
    <w:sdt>
      <w:sdtPr>
        <w:id w:val="-15433587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8682F">
          <w:rPr>
            <w:noProof/>
          </w:rPr>
          <w:t>1</w:t>
        </w:r>
        <w:r>
          <w:rPr>
            <w:noProof/>
          </w:rPr>
          <w:fldChar w:fldCharType="end"/>
        </w:r>
      </w:sdtContent>
    </w:sdt>
  </w:p>
  <w:p w:rsidR="00F50080" w:rsidRDefault="00F500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20C"/>
    <w:rsid w:val="0008682F"/>
    <w:rsid w:val="0018661B"/>
    <w:rsid w:val="0032520C"/>
    <w:rsid w:val="004D2164"/>
    <w:rsid w:val="00513C96"/>
    <w:rsid w:val="005443D7"/>
    <w:rsid w:val="00593C31"/>
    <w:rsid w:val="006E6D27"/>
    <w:rsid w:val="007A2A59"/>
    <w:rsid w:val="007F5964"/>
    <w:rsid w:val="008706CA"/>
    <w:rsid w:val="009129EE"/>
    <w:rsid w:val="009245F0"/>
    <w:rsid w:val="00B03B3B"/>
    <w:rsid w:val="00B16EEE"/>
    <w:rsid w:val="00B9775F"/>
    <w:rsid w:val="00BF746E"/>
    <w:rsid w:val="00D3267A"/>
    <w:rsid w:val="00D91FAF"/>
    <w:rsid w:val="00E77967"/>
    <w:rsid w:val="00E87453"/>
    <w:rsid w:val="00F50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9CCC2"/>
  <w15:docId w15:val="{938FBB8C-E07B-4DD0-B7BE-4F60DDE03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7796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0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080"/>
  </w:style>
  <w:style w:type="paragraph" w:styleId="Footer">
    <w:name w:val="footer"/>
    <w:basedOn w:val="Normal"/>
    <w:link w:val="FooterChar"/>
    <w:uiPriority w:val="99"/>
    <w:unhideWhenUsed/>
    <w:rsid w:val="00F500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080"/>
  </w:style>
  <w:style w:type="paragraph" w:styleId="BalloonText">
    <w:name w:val="Balloon Text"/>
    <w:basedOn w:val="Normal"/>
    <w:link w:val="BalloonTextChar"/>
    <w:uiPriority w:val="99"/>
    <w:semiHidden/>
    <w:unhideWhenUsed/>
    <w:rsid w:val="007A2A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A59"/>
    <w:rPr>
      <w:rFonts w:ascii="Tahoma" w:hAnsi="Tahoma" w:cs="Tahoma"/>
      <w:sz w:val="16"/>
      <w:szCs w:val="16"/>
    </w:rPr>
  </w:style>
  <w:style w:type="character" w:customStyle="1" w:styleId="Heading1Char">
    <w:name w:val="Heading 1 Char"/>
    <w:basedOn w:val="DefaultParagraphFont"/>
    <w:link w:val="Heading1"/>
    <w:uiPriority w:val="9"/>
    <w:rsid w:val="00E7796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77967"/>
  </w:style>
  <w:style w:type="character" w:styleId="Emphasis">
    <w:name w:val="Emphasis"/>
    <w:basedOn w:val="DefaultParagraphFont"/>
    <w:uiPriority w:val="20"/>
    <w:qFormat/>
    <w:rsid w:val="001866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Wol</b:Tag>
    <b:SourceType>Book</b:SourceType>
    <b:Guid>{4BC1CD39-9D35-434A-B90E-870E6BD8C19E}</b:Guid>
    <b:Title>The French Revolution and The Empire</b:Title>
    <b:Author>
      <b:Author>
        <b:NameList>
          <b:Person>
            <b:Last>Woloch</b:Last>
            <b:First>Isser</b:First>
          </b:Person>
        </b:NameList>
      </b:Author>
    </b:Author>
    <b:RefOrder>1</b:RefOrder>
  </b:Source>
</b:Sources>
</file>

<file path=customXml/itemProps1.xml><?xml version="1.0" encoding="utf-8"?>
<ds:datastoreItem xmlns:ds="http://schemas.openxmlformats.org/officeDocument/2006/customXml" ds:itemID="{61683988-C01C-458C-B22A-01636531A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2019-03-16T04:31:00Z</dcterms:created>
  <dcterms:modified xsi:type="dcterms:W3CDTF">2019-03-16T04:31:00Z</dcterms:modified>
</cp:coreProperties>
</file>